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Data Retention Policy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t>Owner</w:t>
            </w:r>
          </w:p>
        </w:tc>
        <w:tc>
          <w:tcPr>
            <w:tcW w:type="dxa" w:w="5040"/>
          </w:tcPr>
          <w:p>
            <w:r>
              <w:t>Data Protection</w:t>
            </w:r>
          </w:p>
        </w:tc>
      </w:tr>
      <w:tr>
        <w:tc>
          <w:tcPr>
            <w:tcW w:type="dxa" w:w="5040"/>
          </w:tcPr>
          <w:p>
            <w:r>
              <w:t>Effective from</w:t>
            </w:r>
          </w:p>
        </w:tc>
        <w:tc>
          <w:tcPr>
            <w:tcW w:type="dxa" w:w="5040"/>
          </w:tcPr>
          <w:p>
            <w:r>
              <w:t>8 July 2026</w:t>
            </w:r>
          </w:p>
        </w:tc>
      </w:tr>
      <w:tr>
        <w:tc>
          <w:tcPr>
            <w:tcW w:type="dxa" w:w="5040"/>
          </w:tcPr>
          <w:p>
            <w:r>
              <w:t>Last reviewed</w:t>
            </w:r>
          </w:p>
        </w:tc>
        <w:tc>
          <w:tcPr>
            <w:tcW w:type="dxa" w:w="5040"/>
          </w:tcPr>
          <w:p>
            <w:r>
              <w:t>5 August 2026</w:t>
            </w:r>
          </w:p>
        </w:tc>
      </w:tr>
      <w:tr>
        <w:tc>
          <w:tcPr>
            <w:tcW w:type="dxa" w:w="5040"/>
          </w:tcPr>
          <w:p>
            <w:r>
              <w:t>Review cycle</w:t>
            </w:r>
          </w:p>
        </w:tc>
        <w:tc>
          <w:tcPr>
            <w:tcW w:type="dxa" w:w="5040"/>
          </w:tcPr>
          <w:p>
            <w:r>
              <w:t>Annual or following material change</w:t>
            </w:r>
          </w:p>
        </w:tc>
      </w:tr>
    </w:tbl>
    <w:p>
      <w:r>
        <w:t>How Finpliq retains and deletes business, accounting, tax, support and security records.</w:t>
      </w:r>
    </w:p>
    <w:p>
      <w:pPr>
        <w:pStyle w:val="Heading1"/>
      </w:pPr>
      <w:r>
        <w:t>At a glance</w:t>
      </w:r>
    </w:p>
    <w:p>
      <w:pPr>
        <w:pStyle w:val="ListBullet"/>
      </w:pPr>
      <w:r>
        <w:t>Accounting and tax records may need to be retained for statutory periods.</w:t>
      </w:r>
    </w:p>
    <w:p>
      <w:pPr>
        <w:pStyle w:val="ListBullet"/>
      </w:pPr>
      <w:r>
        <w:t>Deletion requests are assessed against legal, accounting, tax, security and contractual retention duties.</w:t>
      </w:r>
    </w:p>
    <w:p>
      <w:pPr>
        <w:pStyle w:val="ListBullet"/>
      </w:pPr>
      <w:r>
        <w:t>Uploaded receipts, supplier invoices and transaction attachments are retained only as long as the record they evidence, and are erased from storage — not just the database — on deletion.</w:t>
      </w:r>
    </w:p>
    <w:p>
      <w:pPr>
        <w:pStyle w:val="Heading2"/>
      </w:pPr>
      <w:r>
        <w:t>Full policy</w:t>
      </w:r>
    </w:p>
    <w:p>
      <w:pPr>
        <w:pStyle w:val="ListBullet"/>
      </w:pPr>
      <w:r>
        <w:t>Customer account records are retained while the account is active and for a reasonable period after closure for legal, audit, security, billing and dispute purposes.</w:t>
      </w:r>
    </w:p>
    <w:p>
      <w:pPr>
        <w:pStyle w:val="ListBullet"/>
      </w:pPr>
      <w:r>
        <w:t>Business records, filing evidence, invoices, bills, payroll and tax records may be retained according to UK accounting and tax obligations, unless export/deletion is supported and lawful.</w:t>
      </w:r>
    </w:p>
    <w:p>
      <w:pPr>
        <w:pStyle w:val="ListBullet"/>
      </w:pPr>
      <w:r>
        <w:t>Uploaded documents (receipts, supplier invoices and transaction attachments) are held in access-controlled object storage as opaque, non-public keys, viewable only through short-lived signed links after an ownership check. They follow the retention period of the accounting or tax record they evidence — typically the same statutory period as the record itself — and are erased from object storage, not only from the database, when a document is individually removed or when the account is deleted.</w:t>
      </w:r>
    </w:p>
    <w:p>
      <w:pPr>
        <w:pStyle w:val="ListBullet"/>
      </w:pPr>
      <w:r>
        <w:t>Security logs and audit logs are retained for accountability, investigation and regulatory purposes. Retention periods should be reviewed periodically.</w:t>
      </w:r>
    </w:p>
    <w:p>
      <w:pPr>
        <w:pStyle w:val="ListBullet"/>
      </w:pPr>
      <w:r>
        <w:t>Backups may retain deleted data for a limited period until normal backup rotation removes it.</w:t>
      </w:r>
    </w:p>
    <w:p>
      <w:r>
        <w:t>This document is intended to support customer assurance, HMRC due diligence, accountant review and internal governance. It is not legal advice.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